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Chromosomy 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podaje, że podczas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rozróżnia komórki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budowę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wyjaśnia, jak zmienia się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znaczenie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zapisuje za pomocą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zapisuje za pomocą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analizuje schematy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ykłady pasożytów wewnętrznych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pasożytnictwo na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antagonistyczne: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dokonuje podziału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branych przykładów, krótką charakterystykę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bów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wyjaśnia, dlaczego nieodnawialne zasoby przyrody należy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27. Formy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rozróżnia formy ochrony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chrony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charakterystykę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 celowość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argumenty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6E" w:rsidRDefault="0095716E" w:rsidP="00EA39C6">
      <w:pPr>
        <w:spacing w:after="0" w:line="240" w:lineRule="auto"/>
      </w:pPr>
      <w:r>
        <w:separator/>
      </w:r>
    </w:p>
  </w:endnote>
  <w:endnote w:type="continuationSeparator" w:id="0">
    <w:p w:rsidR="0095716E" w:rsidRDefault="0095716E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14" w:rsidRDefault="006306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843335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630614">
      <w:rPr>
        <w:noProof/>
      </w:rPr>
      <w:t>8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14" w:rsidRDefault="00630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6E" w:rsidRDefault="0095716E" w:rsidP="00EA39C6">
      <w:pPr>
        <w:spacing w:after="0" w:line="240" w:lineRule="auto"/>
      </w:pPr>
      <w:r>
        <w:separator/>
      </w:r>
    </w:p>
  </w:footnote>
  <w:footnote w:type="continuationSeparator" w:id="0">
    <w:p w:rsidR="0095716E" w:rsidRDefault="0095716E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14" w:rsidRDefault="006306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Pr="00630614" w:rsidRDefault="00630614" w:rsidP="00EA39C6">
    <w:pPr>
      <w:pStyle w:val="Nagwek"/>
      <w:tabs>
        <w:tab w:val="clear" w:pos="9072"/>
      </w:tabs>
      <w:ind w:left="142" w:right="-283" w:firstLine="1298"/>
      <w:rPr>
        <w:rFonts w:ascii="Times New Roman" w:hAnsi="Times New Roman" w:cs="Times New Roman"/>
        <w:b/>
        <w:color w:val="F09120"/>
        <w:sz w:val="24"/>
        <w:szCs w:val="24"/>
      </w:rPr>
    </w:pPr>
    <w:r w:rsidRPr="00630614">
      <w:rPr>
        <w:rFonts w:ascii="Times New Roman" w:hAnsi="Times New Roman" w:cs="Times New Roman"/>
        <w:b/>
        <w:noProof/>
        <w:sz w:val="24"/>
        <w:szCs w:val="24"/>
      </w:rPr>
      <w:t>W</w:t>
    </w:r>
    <w:r>
      <w:rPr>
        <w:rFonts w:ascii="Times New Roman" w:hAnsi="Times New Roman" w:cs="Times New Roman"/>
        <w:b/>
        <w:noProof/>
        <w:sz w:val="24"/>
        <w:szCs w:val="24"/>
      </w:rPr>
      <w:t xml:space="preserve">ymagania edukacyjne z biologii </w:t>
    </w:r>
    <w:r w:rsidRPr="00630614">
      <w:rPr>
        <w:rFonts w:ascii="Times New Roman" w:hAnsi="Times New Roman" w:cs="Times New Roman"/>
        <w:b/>
        <w:noProof/>
        <w:sz w:val="24"/>
        <w:szCs w:val="24"/>
      </w:rPr>
      <w:t>- Szkoła Podstawowa nr 129 w Krakowie</w:t>
    </w:r>
  </w:p>
  <w:p w:rsidR="00EA39C6" w:rsidRDefault="00EA39C6">
    <w:pPr>
      <w:pStyle w:val="Nagwek"/>
    </w:pPr>
  </w:p>
  <w:p w:rsidR="00630614" w:rsidRDefault="006306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14" w:rsidRDefault="00630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2C52D0"/>
    <w:rsid w:val="002E120F"/>
    <w:rsid w:val="002E6BED"/>
    <w:rsid w:val="00381A0C"/>
    <w:rsid w:val="005C2D94"/>
    <w:rsid w:val="00617A17"/>
    <w:rsid w:val="00630614"/>
    <w:rsid w:val="0063690C"/>
    <w:rsid w:val="007173BB"/>
    <w:rsid w:val="008257EB"/>
    <w:rsid w:val="00843335"/>
    <w:rsid w:val="00943F44"/>
    <w:rsid w:val="0095716E"/>
    <w:rsid w:val="00A227F2"/>
    <w:rsid w:val="00AD60DC"/>
    <w:rsid w:val="00EA39C6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433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843335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843335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843335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843335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843335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843335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843335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843335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843335"/>
    <w:rPr>
      <w:b/>
      <w:bCs/>
    </w:rPr>
  </w:style>
  <w:style w:type="character" w:customStyle="1" w:styleId="BoldCondensed">
    <w:name w:val="BoldCondensed"/>
    <w:uiPriority w:val="99"/>
    <w:rsid w:val="00843335"/>
    <w:rPr>
      <w:b/>
      <w:bCs/>
    </w:rPr>
  </w:style>
  <w:style w:type="character" w:customStyle="1" w:styleId="boldasia">
    <w:name w:val="bold (asia)"/>
    <w:uiPriority w:val="99"/>
    <w:rsid w:val="00843335"/>
    <w:rPr>
      <w:b/>
      <w:bCs/>
    </w:rPr>
  </w:style>
  <w:style w:type="character" w:customStyle="1" w:styleId="Indeksdolny">
    <w:name w:val="Indeks dolny"/>
    <w:uiPriority w:val="99"/>
    <w:rsid w:val="00843335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843335"/>
    <w:rPr>
      <w:u w:val="none"/>
    </w:rPr>
  </w:style>
  <w:style w:type="character" w:customStyle="1" w:styleId="kropaniebieska">
    <w:name w:val="kropa niebieska"/>
    <w:uiPriority w:val="99"/>
    <w:rsid w:val="00843335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C4A-0CB7-4B54-9B18-074904C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1837</Words>
  <Characters>12182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ANDRZEJ</cp:lastModifiedBy>
  <cp:revision>2</cp:revision>
  <dcterms:created xsi:type="dcterms:W3CDTF">2018-09-02T17:52:00Z</dcterms:created>
  <dcterms:modified xsi:type="dcterms:W3CDTF">2018-09-02T17:52:00Z</dcterms:modified>
</cp:coreProperties>
</file>